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1" allowOverlap="1" relativeHeight="2">
            <wp:simplePos x="0" y="0"/>
            <wp:positionH relativeFrom="column">
              <wp:posOffset>-188595</wp:posOffset>
            </wp:positionH>
            <wp:positionV relativeFrom="paragraph">
              <wp:posOffset>-826135</wp:posOffset>
            </wp:positionV>
            <wp:extent cx="1329055" cy="1083310"/>
            <wp:effectExtent l="0" t="0" r="0" b="0"/>
            <wp:wrapSquare wrapText="larges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44" t="-47" r="-44" b="-47"/>
                    <a:stretch>
                      <a:fillRect/>
                    </a:stretch>
                  </pic:blipFill>
                  <pic:spPr bwMode="auto">
                    <a:xfrm>
                      <a:off x="0" y="0"/>
                      <a:ext cx="1329055" cy="1083310"/>
                    </a:xfrm>
                    <a:prstGeom prst="rect">
                      <a:avLst/>
                    </a:prstGeom>
                  </pic:spPr>
                </pic:pic>
              </a:graphicData>
            </a:graphic>
          </wp:anchor>
        </w:drawing>
      </w:r>
    </w:p>
    <w:p>
      <w:pPr>
        <w:pStyle w:val="Normal"/>
        <w:widowControl/>
        <w:tabs>
          <w:tab w:val="clear" w:pos="708"/>
          <w:tab w:val="left" w:pos="5500" w:leader="none"/>
        </w:tabs>
        <w:bidi w:val="0"/>
        <w:snapToGrid w:val="false"/>
        <w:spacing w:lineRule="auto" w:line="240" w:before="0" w:after="0"/>
        <w:ind w:left="0" w:right="0" w:hanging="0"/>
        <w:jc w:val="both"/>
        <w:rPr>
          <w:rFonts w:ascii="Marianne" w:hAnsi="Marianne" w:eastAsia="Times New Roman" w:cs="Marianne"/>
          <w:b/>
          <w:b/>
          <w:bCs/>
          <w:i w:val="false"/>
          <w:i w:val="false"/>
          <w:caps w:val="false"/>
          <w:smallCaps w:val="false"/>
          <w:strike w:val="false"/>
          <w:dstrike w:val="false"/>
          <w:color w:val="auto"/>
          <w:kern w:val="0"/>
          <w:sz w:val="16"/>
          <w:szCs w:val="16"/>
          <w:u w:val="none"/>
          <w:lang w:val="fr-FR" w:eastAsia="zxx" w:bidi="zxx"/>
        </w:rPr>
      </w:pPr>
      <w:r>
        <w:rPr>
          <w:rFonts w:eastAsia="Times New Roman" w:cs="Marianne" w:ascii="Marianne" w:hAnsi="Marianne"/>
          <w:b/>
          <w:bCs/>
          <w:i w:val="false"/>
          <w:caps w:val="false"/>
          <w:smallCaps w:val="false"/>
          <w:strike w:val="false"/>
          <w:dstrike w:val="false"/>
          <w:color w:val="auto"/>
          <w:kern w:val="0"/>
          <w:sz w:val="16"/>
          <w:szCs w:val="16"/>
          <w:u w:val="none"/>
          <w:lang w:val="fr-FR" w:eastAsia="zxx" w:bidi="zxx"/>
        </w:rPr>
      </w:r>
    </w:p>
    <w:p>
      <w:pPr>
        <w:pStyle w:val="Normal"/>
        <w:widowControl/>
        <w:tabs>
          <w:tab w:val="clear" w:pos="708"/>
          <w:tab w:val="left" w:pos="5500" w:leader="none"/>
        </w:tabs>
        <w:bidi w:val="0"/>
        <w:snapToGrid w:val="false"/>
        <w:spacing w:lineRule="auto" w:line="240" w:before="0" w:after="0"/>
        <w:ind w:left="0" w:right="0" w:hanging="0"/>
        <w:jc w:val="both"/>
        <w:rPr/>
      </w:pPr>
      <w:r>
        <w:rPr>
          <w:rFonts w:eastAsia="Times New Roman" w:cs="Marianne" w:ascii="Marianne" w:hAnsi="Marianne"/>
          <w:b/>
          <w:bCs/>
          <w:i w:val="false"/>
          <w:caps w:val="false"/>
          <w:smallCaps w:val="false"/>
          <w:strike w:val="false"/>
          <w:dstrike w:val="false"/>
          <w:color w:val="auto"/>
          <w:kern w:val="0"/>
          <w:sz w:val="16"/>
          <w:szCs w:val="16"/>
          <w:u w:val="none"/>
          <w:lang w:val="fr-FR" w:eastAsia="zxx" w:bidi="zxx"/>
        </w:rPr>
        <w:t>SECRÉTARIAT GÉNÉRAL</w:t>
      </w:r>
    </w:p>
    <w:p>
      <w:pPr>
        <w:pStyle w:val="Normal"/>
        <w:widowControl/>
        <w:tabs>
          <w:tab w:val="clear" w:pos="708"/>
          <w:tab w:val="left" w:pos="5500" w:leader="none"/>
        </w:tabs>
        <w:bidi w:val="0"/>
        <w:snapToGrid w:val="false"/>
        <w:spacing w:lineRule="auto" w:line="240" w:before="0" w:after="0"/>
        <w:ind w:left="0" w:right="0" w:hanging="0"/>
        <w:jc w:val="both"/>
        <w:rPr>
          <w:rFonts w:ascii="Marianne" w:hAnsi="Marianne" w:eastAsia="Times New Roman" w:cs="Marianne"/>
          <w:b/>
          <w:b/>
          <w:bCs/>
          <w:i w:val="false"/>
          <w:i w:val="false"/>
          <w:caps w:val="false"/>
          <w:smallCaps w:val="false"/>
          <w:strike w:val="false"/>
          <w:dstrike w:val="false"/>
          <w:color w:val="auto"/>
          <w:kern w:val="0"/>
          <w:sz w:val="12"/>
          <w:szCs w:val="12"/>
          <w:u w:val="none"/>
          <w:lang w:val="fr-FR" w:eastAsia="zxx" w:bidi="zxx"/>
        </w:rPr>
      </w:pPr>
      <w:r>
        <w:rPr>
          <w:rFonts w:eastAsia="Times New Roman" w:cs="Marianne" w:ascii="Marianne" w:hAnsi="Marianne"/>
          <w:b/>
          <w:bCs/>
          <w:i w:val="false"/>
          <w:caps w:val="false"/>
          <w:smallCaps w:val="false"/>
          <w:strike w:val="false"/>
          <w:dstrike w:val="false"/>
          <w:color w:val="auto"/>
          <w:kern w:val="0"/>
          <w:sz w:val="12"/>
          <w:szCs w:val="12"/>
          <w:u w:val="none"/>
          <w:lang w:val="fr-FR" w:eastAsia="zxx" w:bidi="zxx"/>
        </w:rPr>
      </w:r>
    </w:p>
    <w:p>
      <w:pPr>
        <w:pStyle w:val="Normal"/>
        <w:widowControl/>
        <w:tabs>
          <w:tab w:val="clear" w:pos="708"/>
          <w:tab w:val="left" w:pos="5500" w:leader="none"/>
        </w:tabs>
        <w:bidi w:val="0"/>
        <w:snapToGrid w:val="false"/>
        <w:spacing w:lineRule="auto" w:line="240" w:before="0" w:after="0"/>
        <w:ind w:left="0" w:right="0" w:hanging="0"/>
        <w:jc w:val="both"/>
        <w:rPr>
          <w:b w:val="false"/>
          <w:b w:val="false"/>
          <w:bCs w:val="false"/>
          <w:sz w:val="16"/>
          <w:szCs w:val="16"/>
        </w:rPr>
      </w:pPr>
      <w:r>
        <w:rPr>
          <w:rFonts w:eastAsia="Times New Roman" w:cs="Marianne" w:ascii="Marianne" w:hAnsi="Marianne"/>
          <w:b w:val="false"/>
          <w:bCs w:val="false"/>
          <w:i w:val="false"/>
          <w:caps w:val="false"/>
          <w:smallCaps w:val="false"/>
          <w:strike w:val="false"/>
          <w:dstrike w:val="false"/>
          <w:color w:val="auto"/>
          <w:kern w:val="0"/>
          <w:sz w:val="16"/>
          <w:szCs w:val="16"/>
          <w:u w:val="none"/>
          <w:lang w:val="fr-FR" w:eastAsia="zxx" w:bidi="zxx"/>
        </w:rPr>
        <w:t>Direction des collectivités locales</w:t>
      </w:r>
    </w:p>
    <w:p>
      <w:pPr>
        <w:pStyle w:val="Normal"/>
        <w:widowControl/>
        <w:tabs>
          <w:tab w:val="clear" w:pos="708"/>
          <w:tab w:val="left" w:pos="5500" w:leader="none"/>
        </w:tabs>
        <w:bidi w:val="0"/>
        <w:snapToGrid w:val="false"/>
        <w:spacing w:lineRule="auto" w:line="240" w:before="0" w:after="0"/>
        <w:ind w:left="0" w:right="0" w:hanging="0"/>
        <w:jc w:val="both"/>
        <w:rPr/>
      </w:pPr>
      <w:r>
        <w:rPr>
          <w:rFonts w:eastAsia="Times New Roman" w:cs="Marianne" w:ascii="Marianne" w:hAnsi="Marianne"/>
          <w:b w:val="false"/>
          <w:bCs w:val="false"/>
          <w:i w:val="false"/>
          <w:caps w:val="false"/>
          <w:smallCaps w:val="false"/>
          <w:strike w:val="false"/>
          <w:dstrike w:val="false"/>
          <w:color w:val="auto"/>
          <w:kern w:val="0"/>
          <w:sz w:val="16"/>
          <w:szCs w:val="16"/>
          <w:u w:val="none"/>
          <w:lang w:val="fr-FR" w:eastAsia="zxx" w:bidi="zxx"/>
        </w:rPr>
        <w:t>et de la réglementation économique</w:t>
      </w:r>
    </w:p>
    <w:p>
      <w:pPr>
        <w:pStyle w:val="Normal"/>
        <w:widowControl/>
        <w:tabs>
          <w:tab w:val="clear" w:pos="708"/>
          <w:tab w:val="left" w:pos="5500" w:leader="none"/>
        </w:tabs>
        <w:bidi w:val="0"/>
        <w:snapToGrid w:val="false"/>
        <w:spacing w:lineRule="auto" w:line="240" w:before="0" w:after="0"/>
        <w:ind w:left="0" w:right="0" w:hanging="0"/>
        <w:jc w:val="both"/>
        <w:rPr>
          <w:rFonts w:ascii="Marianne" w:hAnsi="Marianne" w:eastAsia="Times New Roman" w:cs="Marianne"/>
          <w:b w:val="false"/>
          <w:b w:val="false"/>
          <w:bCs w:val="false"/>
          <w:i w:val="false"/>
          <w:i w:val="false"/>
          <w:caps w:val="false"/>
          <w:smallCaps w:val="false"/>
          <w:strike w:val="false"/>
          <w:dstrike w:val="false"/>
          <w:color w:val="auto"/>
          <w:kern w:val="0"/>
          <w:sz w:val="12"/>
          <w:szCs w:val="12"/>
          <w:u w:val="none"/>
          <w:lang w:val="fr-FR" w:eastAsia="zxx" w:bidi="zxx"/>
        </w:rPr>
      </w:pPr>
      <w:r>
        <w:rPr>
          <w:rFonts w:eastAsia="Times New Roman" w:cs="Marianne" w:ascii="Marianne" w:hAnsi="Marianne"/>
          <w:b w:val="false"/>
          <w:bCs w:val="false"/>
          <w:i w:val="false"/>
          <w:caps w:val="false"/>
          <w:smallCaps w:val="false"/>
          <w:strike w:val="false"/>
          <w:dstrike w:val="false"/>
          <w:color w:val="auto"/>
          <w:kern w:val="0"/>
          <w:sz w:val="12"/>
          <w:szCs w:val="12"/>
          <w:u w:val="none"/>
          <w:lang w:val="fr-FR" w:eastAsia="zxx" w:bidi="zxx"/>
        </w:rPr>
      </w:r>
    </w:p>
    <w:p>
      <w:pPr>
        <w:pStyle w:val="Normal"/>
        <w:widowControl/>
        <w:bidi w:val="0"/>
        <w:snapToGrid w:val="false"/>
        <w:spacing w:lineRule="auto" w:line="240" w:before="0" w:after="0"/>
        <w:ind w:left="0" w:right="0" w:hanging="0"/>
        <w:jc w:val="both"/>
        <w:rPr>
          <w:b w:val="false"/>
          <w:b w:val="false"/>
          <w:bCs w:val="false"/>
          <w:sz w:val="16"/>
          <w:szCs w:val="16"/>
        </w:rPr>
      </w:pPr>
      <w:r>
        <w:rPr>
          <w:rFonts w:eastAsia="Times New Roman" w:cs="Marianne" w:ascii="Marianne" w:hAnsi="Marianne"/>
          <w:b w:val="false"/>
          <w:bCs w:val="false"/>
          <w:i w:val="false"/>
          <w:caps w:val="false"/>
          <w:smallCaps w:val="false"/>
          <w:strike w:val="false"/>
          <w:dstrike w:val="false"/>
          <w:color w:val="auto"/>
          <w:kern w:val="0"/>
          <w:sz w:val="16"/>
          <w:szCs w:val="16"/>
          <w:u w:val="none"/>
          <w:lang w:val="fr-FR" w:eastAsia="zxx" w:bidi="zxx"/>
        </w:rPr>
        <w:t>Bureau de la réglementation économique et fiscale</w:t>
      </w:r>
    </w:p>
    <w:p>
      <w:pPr>
        <w:pStyle w:val="Normal"/>
        <w:rPr>
          <w:rFonts w:ascii="Marianne" w:hAnsi="Marianne"/>
          <w:sz w:val="21"/>
          <w:szCs w:val="21"/>
        </w:rPr>
      </w:pPr>
      <w:r>
        <w:rPr>
          <w:rFonts w:ascii="Marianne" w:hAnsi="Marianne"/>
          <w:sz w:val="21"/>
          <w:szCs w:val="21"/>
        </w:rPr>
      </w:r>
    </w:p>
    <w:p>
      <w:pPr>
        <w:pStyle w:val="Normal"/>
        <w:rPr>
          <w:rFonts w:ascii="Marianne" w:hAnsi="Marianne"/>
          <w:sz w:val="21"/>
          <w:szCs w:val="21"/>
        </w:rPr>
      </w:pPr>
      <w:r>
        <w:rPr>
          <w:rFonts w:ascii="Marianne" w:hAnsi="Marianne"/>
          <w:sz w:val="21"/>
          <w:szCs w:val="21"/>
        </w:rPr>
      </w:r>
    </w:p>
    <w:p>
      <w:pPr>
        <w:pStyle w:val="Normal"/>
        <w:jc w:val="center"/>
        <w:rPr/>
      </w:pPr>
      <w:r>
        <w:rPr>
          <w:rFonts w:ascii="Marianne" w:hAnsi="Marianne"/>
          <w:sz w:val="21"/>
          <w:szCs w:val="21"/>
        </w:rPr>
        <w:t>COMMUNIQUE DE PRESSE</w:t>
      </w:r>
    </w:p>
    <w:p>
      <w:pPr>
        <w:pStyle w:val="Normal"/>
        <w:spacing w:before="0" w:after="0"/>
        <w:jc w:val="center"/>
        <w:rPr>
          <w:rFonts w:ascii="Marianne" w:hAnsi="Marianne"/>
          <w:sz w:val="21"/>
          <w:szCs w:val="21"/>
        </w:rPr>
      </w:pPr>
      <w:r>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jc w:val="center"/>
        <w:rPr>
          <w:strike/>
          <w:vertAlign w:val="superscript"/>
        </w:rPr>
      </w:pPr>
      <w:r>
        <w:rPr>
          <w:rFonts w:ascii="Marianne" w:hAnsi="Marianne"/>
          <w:sz w:val="21"/>
          <w:szCs w:val="21"/>
        </w:rPr>
        <w:t>Elaboration des listes régionales des établissements et organismes habilités</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jc w:val="center"/>
        <w:rPr>
          <w:rFonts w:ascii="Marianne" w:hAnsi="Marianne"/>
        </w:rPr>
      </w:pPr>
      <w:r>
        <w:rPr>
          <w:rFonts w:ascii="Marianne" w:hAnsi="Marianne"/>
          <w:sz w:val="21"/>
          <w:szCs w:val="21"/>
        </w:rPr>
        <w:t>à percevoir le solde de la taxe d’apprentissage  (13%) pour l’année 2024.</w:t>
      </w:r>
    </w:p>
    <w:p>
      <w:pPr>
        <w:pStyle w:val="Normal"/>
        <w:jc w:val="both"/>
        <w:rPr/>
      </w:pPr>
      <w:r>
        <w:rPr/>
      </w:r>
    </w:p>
    <w:p>
      <w:pPr>
        <w:pStyle w:val="Normal"/>
        <w:jc w:val="both"/>
        <w:rPr>
          <w:rFonts w:ascii="Marianne" w:hAnsi="Marianne"/>
          <w:sz w:val="21"/>
          <w:szCs w:val="21"/>
        </w:rPr>
      </w:pPr>
      <w:r>
        <w:rPr>
          <w:rFonts w:ascii="Marianne" w:hAnsi="Marianne"/>
          <w:sz w:val="21"/>
          <w:szCs w:val="21"/>
        </w:rPr>
        <w:t>Les employeurs peuvent consacrer 13% du montant de la taxe d’apprentissage à des dépenses destinées à favoriser le développement des formations initiales professionnelles et technologiques, hors apprentissage, et l’insertion professionnelle (L.6241-4-1 du code du travail).</w:t>
      </w:r>
    </w:p>
    <w:p>
      <w:pPr>
        <w:pStyle w:val="Normal"/>
        <w:jc w:val="both"/>
        <w:rPr>
          <w:rFonts w:ascii="Marianne" w:hAnsi="Marianne"/>
          <w:sz w:val="21"/>
          <w:szCs w:val="21"/>
        </w:rPr>
      </w:pPr>
      <w:r>
        <w:rPr>
          <w:rFonts w:ascii="Marianne" w:hAnsi="Marianne"/>
          <w:sz w:val="21"/>
          <w:szCs w:val="21"/>
        </w:rPr>
        <w:t>Des listes régionales d’établissements et d’organismes habilités à percevoir le solde de la taxe d’apprentissage sont établies annuellement. Un arrêté préfectoral fixe chaque année, après avis du bureau du comité régional de l’emploi, de la formation et de l’orientation professionnelle (CREFOP), les listes récapitulatives des formations et établissements, habilités à percevoir des financements à ce titre.</w:t>
      </w:r>
    </w:p>
    <w:p>
      <w:pPr>
        <w:pStyle w:val="Normal"/>
        <w:jc w:val="both"/>
        <w:rPr>
          <w:rFonts w:ascii="Marianne" w:hAnsi="Marianne"/>
          <w:sz w:val="21"/>
          <w:szCs w:val="21"/>
        </w:rPr>
      </w:pPr>
      <w:r>
        <w:rPr>
          <w:rFonts w:ascii="Marianne" w:hAnsi="Marianne"/>
          <w:sz w:val="21"/>
          <w:szCs w:val="21"/>
        </w:rPr>
        <w:t>Seuls les établissements et organismes mentionnés à l’article L.6241-5 du code du travail peuvent prétendre à figurer sur une des deux listes régionales. Pour solliciter son inscription sur les listes régionales au titre de l'année 2024, les établissements de formation, qu’ils soient ou non inscrits sur les listes arrêtées en 2023, doivent valider leur demande par l'envoi du formulaire d'habilitation à leur tutelle pédagogique.</w:t>
      </w:r>
    </w:p>
    <w:p>
      <w:pPr>
        <w:pStyle w:val="Normal"/>
        <w:spacing w:before="0" w:after="0"/>
        <w:jc w:val="both"/>
        <w:rPr>
          <w:rFonts w:ascii="Marianne" w:hAnsi="Marianne"/>
          <w:sz w:val="21"/>
          <w:szCs w:val="21"/>
        </w:rPr>
      </w:pPr>
      <w:r>
        <w:rPr>
          <w:rFonts w:ascii="Marianne" w:hAnsi="Marianne"/>
          <w:sz w:val="21"/>
          <w:szCs w:val="21"/>
        </w:rPr>
        <w:t xml:space="preserve">De plus amples informations sont précisées sur le site de la préfecture à la rubrique suivante : </w:t>
      </w:r>
    </w:p>
    <w:p>
      <w:pPr>
        <w:pStyle w:val="Normal"/>
        <w:jc w:val="both"/>
        <w:rPr>
          <w:rFonts w:ascii="Marianne" w:hAnsi="Marianne"/>
          <w:sz w:val="21"/>
          <w:szCs w:val="21"/>
        </w:rPr>
      </w:pPr>
      <w:r>
        <w:rPr>
          <w:rFonts w:ascii="Marianne" w:hAnsi="Marianne"/>
          <w:sz w:val="21"/>
          <w:szCs w:val="21"/>
        </w:rPr>
        <w:t>Politiques publiques / Entreprises, économie, emploi formation et finances publiques/ taxe apprentissage.</w:t>
      </w:r>
    </w:p>
    <w:p>
      <w:pPr>
        <w:pStyle w:val="NormalWeb"/>
        <w:shd w:val="clear" w:color="auto" w:fill="FFFFFF"/>
        <w:spacing w:beforeAutospacing="0" w:before="0" w:afterAutospacing="0" w:after="0"/>
        <w:jc w:val="both"/>
        <w:rPr>
          <w:rFonts w:ascii="Marianne" w:hAnsi="Marianne"/>
          <w:sz w:val="21"/>
          <w:szCs w:val="21"/>
        </w:rPr>
      </w:pPr>
      <w:r>
        <w:rPr>
          <w:rFonts w:eastAsia="Calibri" w:cs="" w:ascii="Marianne" w:hAnsi="Marianne" w:cstheme="minorBidi" w:eastAsiaTheme="minorHAnsi"/>
          <w:color w:val="393939"/>
          <w:sz w:val="21"/>
          <w:szCs w:val="21"/>
          <w:lang w:eastAsia="en-US"/>
        </w:rPr>
        <w:t xml:space="preserve">La date limite de réception des demandes d'habilitation est fixée au </w:t>
      </w:r>
      <w:r>
        <w:rPr>
          <w:rFonts w:eastAsia="Calibri" w:cs="" w:ascii="Marianne" w:hAnsi="Marianne" w:cstheme="minorBidi" w:eastAsiaTheme="minorHAnsi"/>
          <w:b/>
          <w:color w:val="393939"/>
          <w:sz w:val="21"/>
          <w:szCs w:val="21"/>
          <w:u w:val="single"/>
          <w:lang w:eastAsia="en-US"/>
        </w:rPr>
        <w:t>19 janvier 2024 dernier délai</w:t>
      </w:r>
      <w:r>
        <w:rPr>
          <w:rFonts w:eastAsia="Calibri" w:cs="" w:ascii="Marianne" w:hAnsi="Marianne" w:cstheme="minorBidi" w:eastAsiaTheme="minorHAnsi"/>
          <w:color w:val="393939"/>
          <w:sz w:val="21"/>
          <w:szCs w:val="21"/>
          <w:lang w:eastAsia="en-US"/>
        </w:rPr>
        <w:t>.</w:t>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rianne">
    <w:charset w:val="00"/>
    <w:family w:val="roman"/>
    <w:pitch w:val="variable"/>
  </w:font>
  <w:font w:name="Marianne">
    <w:charset w:val="01"/>
    <w:family w:val="modern"/>
    <w:pitch w:val="variable"/>
  </w:font>
</w:fonts>
</file>

<file path=word/settings.xml><?xml version="1.0" encoding="utf-8"?>
<w:settings xmlns:w="http://schemas.openxmlformats.org/wordprocessingml/2006/main">
  <w:zoom w:percent="191"/>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Puces">
    <w:name w:val="Puces"/>
    <w:qFormat/>
    <w:rPr>
      <w:rFonts w:ascii="OpenSymbol" w:hAnsi="OpenSymbol" w:eastAsia="OpenSymbol" w:cs="OpenSymbol"/>
    </w:rPr>
  </w:style>
  <w:style w:type="character" w:styleId="ListLabel1">
    <w:name w:val="ListLabel 1"/>
    <w:qFormat/>
    <w:rPr>
      <w:rFonts w:cs="Wingdings"/>
      <w:sz w:val="21"/>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05678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1</Pages>
  <Words>242</Words>
  <Characters>1488</Characters>
  <CharactersWithSpaces>1719</CharactersWithSpaces>
  <Paragraphs>13</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2023-11-30T09:57:32Z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